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9D7" w:rsidRDefault="00AE69D7" w:rsidP="00AE69D7">
      <w:pPr>
        <w:pStyle w:val="Titolo1"/>
        <w:numPr>
          <w:ilvl w:val="0"/>
          <w:numId w:val="0"/>
        </w:numPr>
      </w:pPr>
      <w:bookmarkStart w:id="0" w:name="_Toc415562931"/>
      <w:r>
        <w:t>Appendice A - C</w:t>
      </w:r>
      <w:r w:rsidRPr="00095F03">
        <w:t>asi di esclusione dall’obbligo di dotazione</w:t>
      </w:r>
      <w:r>
        <w:t xml:space="preserve"> dell’APE</w:t>
      </w:r>
      <w:bookmarkEnd w:id="0"/>
      <w:r w:rsidRPr="00095F03">
        <w:t xml:space="preserve"> </w:t>
      </w:r>
    </w:p>
    <w:p w:rsidR="00AE69D7" w:rsidRDefault="00AE69D7" w:rsidP="00AE69D7">
      <w:pPr>
        <w:pStyle w:val="Titolo"/>
      </w:pPr>
    </w:p>
    <w:p w:rsidR="00AE69D7" w:rsidRPr="00E878C9" w:rsidRDefault="00AE69D7" w:rsidP="00AE69D7">
      <w:pPr>
        <w:jc w:val="both"/>
        <w:rPr>
          <w:iCs/>
          <w:spacing w:val="-4"/>
        </w:rPr>
      </w:pPr>
      <w:r w:rsidRPr="00E878C9">
        <w:rPr>
          <w:iCs/>
          <w:spacing w:val="-4"/>
        </w:rPr>
        <w:t xml:space="preserve">Sono esclusi dall’obbligo di dotazione dell’attestato di prestazione energetica i seguenti casi: </w:t>
      </w:r>
    </w:p>
    <w:p w:rsidR="00AE69D7" w:rsidRPr="00E878C9" w:rsidRDefault="00AE69D7" w:rsidP="00AE69D7">
      <w:pPr>
        <w:jc w:val="both"/>
        <w:rPr>
          <w:iCs/>
          <w:spacing w:val="-4"/>
        </w:rPr>
      </w:pPr>
    </w:p>
    <w:p w:rsidR="00AE69D7" w:rsidRPr="00E878C9" w:rsidRDefault="00AE69D7" w:rsidP="00AE69D7">
      <w:pPr>
        <w:numPr>
          <w:ilvl w:val="0"/>
          <w:numId w:val="3"/>
        </w:numPr>
        <w:spacing w:after="120"/>
        <w:jc w:val="both"/>
        <w:rPr>
          <w:spacing w:val="-4"/>
        </w:rPr>
      </w:pPr>
      <w:r w:rsidRPr="00E878C9">
        <w:rPr>
          <w:bCs/>
          <w:i/>
          <w:iCs/>
          <w:spacing w:val="-4"/>
        </w:rPr>
        <w:t>i fabbricati isolati</w:t>
      </w:r>
      <w:r w:rsidRPr="00E878C9">
        <w:rPr>
          <w:spacing w:val="-4"/>
        </w:rPr>
        <w:t xml:space="preserve"> con una superficie utile totale inferiore a 50 metri quadrati   (art. </w:t>
      </w:r>
      <w:r w:rsidRPr="00E878C9">
        <w:rPr>
          <w:iCs/>
          <w:spacing w:val="-4"/>
        </w:rPr>
        <w:t>3, c. 3, lett. d) del decreto legislativo);</w:t>
      </w:r>
    </w:p>
    <w:p w:rsidR="00AE69D7" w:rsidRPr="00E878C9" w:rsidRDefault="00AE69D7" w:rsidP="00AE69D7">
      <w:pPr>
        <w:numPr>
          <w:ilvl w:val="0"/>
          <w:numId w:val="3"/>
        </w:numPr>
        <w:spacing w:after="120"/>
        <w:jc w:val="both"/>
        <w:rPr>
          <w:spacing w:val="-4"/>
        </w:rPr>
      </w:pPr>
      <w:r w:rsidRPr="00E878C9">
        <w:rPr>
          <w:bCs/>
          <w:i/>
          <w:iCs/>
          <w:spacing w:val="-4"/>
        </w:rPr>
        <w:t xml:space="preserve">edifici industriali e artigianali </w:t>
      </w:r>
      <w:r w:rsidRPr="00E878C9">
        <w:rPr>
          <w:spacing w:val="-4"/>
        </w:rPr>
        <w:t xml:space="preserve">quando gli ambienti sono riscaldati per esigenze del processo produttivo o utilizzando reflui energetici del processo produttivo non altrimenti utilizzabili (art. </w:t>
      </w:r>
      <w:r w:rsidRPr="00A123A4">
        <w:rPr>
          <w:spacing w:val="-4"/>
        </w:rPr>
        <w:t>3, c. 3, lett. b) del decreto legislativo) ovvero quando il loro utilizzo e/o le attività svolte al loro interno non ne prevedano il riscaldamento o la climatizzazione;</w:t>
      </w:r>
      <w:r w:rsidRPr="00E878C9">
        <w:rPr>
          <w:spacing w:val="-4"/>
        </w:rPr>
        <w:t xml:space="preserve"> </w:t>
      </w:r>
    </w:p>
    <w:p w:rsidR="00AE69D7" w:rsidRPr="00E878C9" w:rsidRDefault="00AE69D7" w:rsidP="00AE69D7">
      <w:pPr>
        <w:numPr>
          <w:ilvl w:val="0"/>
          <w:numId w:val="3"/>
        </w:numPr>
        <w:spacing w:after="120"/>
        <w:jc w:val="both"/>
        <w:rPr>
          <w:spacing w:val="-4"/>
        </w:rPr>
      </w:pPr>
      <w:r w:rsidRPr="00E878C9">
        <w:rPr>
          <w:bCs/>
          <w:i/>
          <w:iCs/>
          <w:spacing w:val="-4"/>
        </w:rPr>
        <w:t>gli edifici agricoli</w:t>
      </w:r>
      <w:r w:rsidRPr="00E878C9">
        <w:rPr>
          <w:spacing w:val="-4"/>
        </w:rPr>
        <w:t xml:space="preserve">  non residenziali, sprovvisti di impianti di climatizzazione (art. </w:t>
      </w:r>
      <w:r w:rsidRPr="00E878C9">
        <w:rPr>
          <w:iCs/>
          <w:spacing w:val="-4"/>
        </w:rPr>
        <w:t>3, c. 3, lett. c) del decreto legislativo)</w:t>
      </w:r>
      <w:r w:rsidRPr="00E878C9">
        <w:rPr>
          <w:spacing w:val="-4"/>
        </w:rPr>
        <w:t>;</w:t>
      </w:r>
    </w:p>
    <w:p w:rsidR="00AE69D7" w:rsidRPr="00E878C9" w:rsidRDefault="00AE69D7" w:rsidP="00AE69D7">
      <w:pPr>
        <w:numPr>
          <w:ilvl w:val="0"/>
          <w:numId w:val="3"/>
        </w:numPr>
        <w:spacing w:after="120"/>
        <w:jc w:val="both"/>
        <w:rPr>
          <w:i/>
          <w:iCs/>
          <w:spacing w:val="-4"/>
        </w:rPr>
      </w:pPr>
      <w:r w:rsidRPr="00E878C9">
        <w:rPr>
          <w:spacing w:val="-4"/>
        </w:rPr>
        <w:t xml:space="preserve">gli </w:t>
      </w:r>
      <w:r w:rsidRPr="00E878C9">
        <w:rPr>
          <w:bCs/>
          <w:i/>
          <w:iCs/>
          <w:spacing w:val="-4"/>
        </w:rPr>
        <w:t>edifici che risultano non compresi</w:t>
      </w:r>
      <w:r w:rsidRPr="00E878C9">
        <w:rPr>
          <w:spacing w:val="-4"/>
        </w:rPr>
        <w:t xml:space="preserve"> nelle categorie di edifici classificati sulla base della destinazione d'uso di cui all'articolo </w:t>
      </w:r>
      <w:r w:rsidRPr="00E878C9">
        <w:rPr>
          <w:i/>
          <w:iCs/>
          <w:spacing w:val="-4"/>
        </w:rPr>
        <w:t>3, D.P.R. 26.8.1993, n. 412,</w:t>
      </w:r>
      <w:r w:rsidRPr="00E878C9">
        <w:rPr>
          <w:spacing w:val="-4"/>
        </w:rPr>
        <w:t xml:space="preserve"> il cui utilizzo standard non prevede l'installazione e l'impiego di sistemi tecnici, quali </w:t>
      </w:r>
      <w:r w:rsidRPr="00E878C9">
        <w:rPr>
          <w:bCs/>
          <w:i/>
          <w:iCs/>
          <w:spacing w:val="-4"/>
        </w:rPr>
        <w:t>box, cantine, autorimesse, parcheggi multipiano, depositi, strutture stagionali</w:t>
      </w:r>
      <w:r w:rsidRPr="00E878C9">
        <w:rPr>
          <w:spacing w:val="-4"/>
        </w:rPr>
        <w:t xml:space="preserve"> a protezione degli impianti sportivi, (art. </w:t>
      </w:r>
      <w:r w:rsidRPr="00E878C9">
        <w:rPr>
          <w:iCs/>
          <w:spacing w:val="-4"/>
        </w:rPr>
        <w:t>3, c. 3, lett. e) del decreto legislativo).</w:t>
      </w:r>
      <w:r w:rsidRPr="00E878C9">
        <w:rPr>
          <w:i/>
          <w:iCs/>
          <w:spacing w:val="-4"/>
        </w:rPr>
        <w:t xml:space="preserve"> </w:t>
      </w:r>
      <w:r w:rsidRPr="00E878C9">
        <w:rPr>
          <w:iCs/>
          <w:spacing w:val="-4"/>
        </w:rPr>
        <w:t>L’attestato di prestazione energetica</w:t>
      </w:r>
      <w:r w:rsidRPr="00E878C9">
        <w:rPr>
          <w:spacing w:val="-4"/>
        </w:rPr>
        <w:t xml:space="preserve"> è, peraltro, richiesto con riguardo alle porzioni eventualmente adibite ad uffici e assimilabili, purché scorporabili ai fini della valutazione di efficienza energetica (art. </w:t>
      </w:r>
      <w:r w:rsidRPr="00E878C9">
        <w:rPr>
          <w:iCs/>
          <w:spacing w:val="-4"/>
        </w:rPr>
        <w:t>3, c. 3-ter, del decreto legislativo);</w:t>
      </w:r>
    </w:p>
    <w:p w:rsidR="00AE69D7" w:rsidRPr="00E878C9" w:rsidRDefault="00AE69D7" w:rsidP="00AE69D7">
      <w:pPr>
        <w:numPr>
          <w:ilvl w:val="0"/>
          <w:numId w:val="3"/>
        </w:numPr>
        <w:spacing w:after="120"/>
        <w:jc w:val="both"/>
        <w:rPr>
          <w:spacing w:val="-4"/>
        </w:rPr>
      </w:pPr>
      <w:r w:rsidRPr="00E878C9">
        <w:rPr>
          <w:bCs/>
          <w:i/>
          <w:iCs/>
          <w:spacing w:val="-4"/>
        </w:rPr>
        <w:t>gli edifici adibiti a luoghi di culto</w:t>
      </w:r>
      <w:r w:rsidRPr="00E878C9">
        <w:rPr>
          <w:spacing w:val="-4"/>
        </w:rPr>
        <w:t xml:space="preserve"> e allo svolgimento di attività religiose, (art. </w:t>
      </w:r>
      <w:r w:rsidRPr="00E878C9">
        <w:rPr>
          <w:iCs/>
          <w:spacing w:val="-4"/>
        </w:rPr>
        <w:t>3, c. 3, lett. f) del decreto legislativo)</w:t>
      </w:r>
      <w:r w:rsidRPr="00E878C9">
        <w:rPr>
          <w:i/>
          <w:iCs/>
          <w:spacing w:val="-4"/>
        </w:rPr>
        <w:t>;</w:t>
      </w:r>
      <w:r w:rsidRPr="00E878C9">
        <w:rPr>
          <w:spacing w:val="-4"/>
        </w:rPr>
        <w:t xml:space="preserve"> </w:t>
      </w:r>
    </w:p>
    <w:p w:rsidR="00AE69D7" w:rsidRPr="00E878C9" w:rsidRDefault="00AE69D7" w:rsidP="00AE69D7">
      <w:pPr>
        <w:numPr>
          <w:ilvl w:val="0"/>
          <w:numId w:val="3"/>
        </w:numPr>
        <w:spacing w:after="120"/>
        <w:jc w:val="both"/>
        <w:rPr>
          <w:i/>
          <w:iCs/>
          <w:spacing w:val="-4"/>
        </w:rPr>
      </w:pPr>
      <w:r w:rsidRPr="00E878C9">
        <w:rPr>
          <w:bCs/>
          <w:i/>
          <w:iCs/>
          <w:spacing w:val="-4"/>
        </w:rPr>
        <w:t xml:space="preserve">i ruderi, </w:t>
      </w:r>
      <w:r w:rsidRPr="00E878C9">
        <w:rPr>
          <w:spacing w:val="-4"/>
        </w:rPr>
        <w:t>purché tale stato venga espressamente dichiarato nell’atto notarile</w:t>
      </w:r>
      <w:r w:rsidRPr="00E878C9">
        <w:rPr>
          <w:i/>
          <w:iCs/>
          <w:spacing w:val="-4"/>
        </w:rPr>
        <w:t>;</w:t>
      </w:r>
    </w:p>
    <w:p w:rsidR="00AE69D7" w:rsidRPr="00A123A4" w:rsidRDefault="00AE69D7" w:rsidP="00AE69D7">
      <w:pPr>
        <w:numPr>
          <w:ilvl w:val="0"/>
          <w:numId w:val="3"/>
        </w:numPr>
        <w:spacing w:after="120"/>
        <w:jc w:val="both"/>
        <w:rPr>
          <w:spacing w:val="-4"/>
        </w:rPr>
      </w:pPr>
      <w:r w:rsidRPr="00A123A4">
        <w:rPr>
          <w:i/>
          <w:spacing w:val="-4"/>
        </w:rPr>
        <w:t>i fabbricati in costruzione</w:t>
      </w:r>
      <w:r w:rsidRPr="00A123A4">
        <w:rPr>
          <w:spacing w:val="-4"/>
        </w:rPr>
        <w:t xml:space="preserve"> per i quali non si disponga  dell'abitabilità o dell'agibilità</w:t>
      </w:r>
      <w:r>
        <w:rPr>
          <w:spacing w:val="-4"/>
        </w:rPr>
        <w:t xml:space="preserve"> al momento della compravendita,</w:t>
      </w:r>
      <w:r w:rsidRPr="00A123A4">
        <w:rPr>
          <w:spacing w:val="-4"/>
        </w:rPr>
        <w:t xml:space="preserve"> </w:t>
      </w:r>
      <w:r w:rsidRPr="00E878C9">
        <w:rPr>
          <w:spacing w:val="-4"/>
        </w:rPr>
        <w:t>purché tale stato venga espressamente dichiarato nell’atto notarile</w:t>
      </w:r>
      <w:r w:rsidRPr="00A123A4">
        <w:rPr>
          <w:spacing w:val="-4"/>
        </w:rPr>
        <w:t xml:space="preserve">. </w:t>
      </w:r>
      <w:r w:rsidRPr="00E878C9">
        <w:rPr>
          <w:spacing w:val="-4"/>
        </w:rPr>
        <w:t>In particolare si fa riferimento:</w:t>
      </w:r>
    </w:p>
    <w:p w:rsidR="00AE69D7" w:rsidRPr="00E878C9" w:rsidRDefault="00AE69D7" w:rsidP="00AE69D7">
      <w:pPr>
        <w:numPr>
          <w:ilvl w:val="0"/>
          <w:numId w:val="4"/>
        </w:numPr>
        <w:spacing w:after="120"/>
        <w:jc w:val="both"/>
        <w:rPr>
          <w:iCs/>
          <w:spacing w:val="-4"/>
        </w:rPr>
      </w:pPr>
      <w:r w:rsidRPr="00E878C9">
        <w:rPr>
          <w:iCs/>
          <w:spacing w:val="-4"/>
        </w:rPr>
        <w:t>agli immobili venduti nello stato di "scheletro strutturale", cioè privi di tutte le pareti verticali esterne o di elementi dell'involucro edilizio;</w:t>
      </w:r>
    </w:p>
    <w:p w:rsidR="00AE69D7" w:rsidRPr="00E878C9" w:rsidRDefault="00AE69D7" w:rsidP="00AE69D7">
      <w:pPr>
        <w:numPr>
          <w:ilvl w:val="0"/>
          <w:numId w:val="4"/>
        </w:numPr>
        <w:spacing w:after="120"/>
        <w:jc w:val="both"/>
        <w:rPr>
          <w:iCs/>
          <w:spacing w:val="-4"/>
        </w:rPr>
      </w:pPr>
      <w:r w:rsidRPr="00E878C9">
        <w:rPr>
          <w:iCs/>
          <w:spacing w:val="-4"/>
        </w:rPr>
        <w:t>agli immobili venduti "al rustico", cioè privi delle rifiniture e degli impianti tecnologici;</w:t>
      </w:r>
    </w:p>
    <w:p w:rsidR="00AE69D7" w:rsidRPr="00E878C9" w:rsidRDefault="00AE69D7" w:rsidP="00AE69D7">
      <w:pPr>
        <w:numPr>
          <w:ilvl w:val="0"/>
          <w:numId w:val="5"/>
        </w:numPr>
        <w:spacing w:after="120"/>
        <w:jc w:val="both"/>
        <w:rPr>
          <w:spacing w:val="-4"/>
        </w:rPr>
      </w:pPr>
      <w:r w:rsidRPr="00E878C9">
        <w:rPr>
          <w:bCs/>
          <w:i/>
          <w:spacing w:val="-4"/>
        </w:rPr>
        <w:t>i manufatti</w:t>
      </w:r>
      <w:r w:rsidRPr="00E878C9">
        <w:rPr>
          <w:spacing w:val="-4"/>
        </w:rPr>
        <w:t xml:space="preserve">, comunque, non riconducibili alla definizione di edificio dettata </w:t>
      </w:r>
      <w:r w:rsidRPr="00E878C9">
        <w:rPr>
          <w:iCs/>
          <w:spacing w:val="-4"/>
        </w:rPr>
        <w:t>dall’art. 2 lett. a) del decreto legislativo</w:t>
      </w:r>
      <w:r w:rsidRPr="00E878C9">
        <w:rPr>
          <w:spacing w:val="-4"/>
        </w:rPr>
        <w:t xml:space="preserve"> (manufatti cioè non qualificabili come “</w:t>
      </w:r>
      <w:r w:rsidRPr="00E878C9">
        <w:rPr>
          <w:i/>
          <w:iCs/>
          <w:spacing w:val="-4"/>
        </w:rPr>
        <w:t xml:space="preserve">sistemi costituiti dalle strutture edilizie esterne che delimitano uno spazio di volume definito, dalle strutture interne che ripartiscono detto volume e da tutti gli impianti e dispositivi tecnologici che si trovano stabilmente al suo interno”) </w:t>
      </w:r>
      <w:r w:rsidRPr="00E878C9">
        <w:rPr>
          <w:spacing w:val="-4"/>
        </w:rPr>
        <w:t xml:space="preserve">(ad esempio: </w:t>
      </w:r>
      <w:r w:rsidRPr="00E878C9">
        <w:rPr>
          <w:i/>
          <w:iCs/>
          <w:spacing w:val="-4"/>
        </w:rPr>
        <w:t>una piscina, una serra non realizzata con strutture edilizie, ecc.</w:t>
      </w:r>
      <w:r w:rsidRPr="00E878C9">
        <w:rPr>
          <w:spacing w:val="-4"/>
        </w:rPr>
        <w:t>).</w:t>
      </w:r>
    </w:p>
    <w:p w:rsidR="00AE69D7" w:rsidRPr="00E878C9" w:rsidRDefault="00AE69D7" w:rsidP="00AE69D7">
      <w:pPr>
        <w:pStyle w:val="Titolo1"/>
        <w:numPr>
          <w:ilvl w:val="0"/>
          <w:numId w:val="0"/>
        </w:numPr>
        <w:ind w:left="431"/>
        <w:rPr>
          <w:b w:val="0"/>
        </w:rPr>
      </w:pPr>
    </w:p>
    <w:p w:rsidR="00AE69D7" w:rsidRDefault="00AE69D7" w:rsidP="00AE69D7">
      <w:pPr>
        <w:spacing w:after="120"/>
        <w:jc w:val="both"/>
      </w:pPr>
      <w:r>
        <w:t>Per le lettere da f) a l), r</w:t>
      </w:r>
      <w:r w:rsidRPr="00E878C9">
        <w:t xml:space="preserve">esta fermo l’obbligo di presentazione, prima dell’inizio dei lavori di completamento, di una nuova relazione tecnica di progetto attestante il rispetto delle norme per l’efficienza energetica degli edifici in vigore alla data di presentazione della richiesta del permesso di costruire, o denuncia di inizio attività, comunque denominato, che, </w:t>
      </w:r>
      <w:r w:rsidRPr="00E878C9">
        <w:rPr>
          <w:highlight w:val="yellow"/>
        </w:rPr>
        <w:t xml:space="preserve">ai sensi di quanto disposto al paragrafo 2.2, dell’Allegato 1 del </w:t>
      </w:r>
      <w:r w:rsidRPr="007C064A">
        <w:rPr>
          <w:highlight w:val="yellow"/>
        </w:rPr>
        <w:t>decreto requisiti minimi</w:t>
      </w:r>
      <w:r w:rsidRPr="00E878C9">
        <w:t xml:space="preserve">, il proprietario dell’edificio, o chi ne ha titolo, deve depositare presso le amministrazioni competenti contestualmente alla denuncia dell’inizio dei lavori. </w:t>
      </w:r>
    </w:p>
    <w:p w:rsidR="00F87E43" w:rsidRDefault="00AE69D7"/>
    <w:sectPr w:rsidR="00F87E43" w:rsidSect="00DE626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43AF7"/>
    <w:multiLevelType w:val="hybridMultilevel"/>
    <w:tmpl w:val="15A018BA"/>
    <w:lvl w:ilvl="0" w:tplc="10A4C3A8">
      <w:start w:val="1"/>
      <w:numFmt w:val="lowerLetter"/>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3E36D99"/>
    <w:multiLevelType w:val="hybridMultilevel"/>
    <w:tmpl w:val="D402E0E0"/>
    <w:lvl w:ilvl="0" w:tplc="6CCC3C52">
      <w:start w:val="1"/>
      <w:numFmt w:val="decimal"/>
      <w:pStyle w:val="Titolo1"/>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45D550A0"/>
    <w:multiLevelType w:val="hybridMultilevel"/>
    <w:tmpl w:val="8D241462"/>
    <w:lvl w:ilvl="0" w:tplc="186408CA">
      <w:start w:val="12"/>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757D7DA5"/>
    <w:multiLevelType w:val="hybridMultilevel"/>
    <w:tmpl w:val="0AB4DEC4"/>
    <w:lvl w:ilvl="0" w:tplc="6C2437D0">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1"/>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E69D7"/>
    <w:rsid w:val="002E0A26"/>
    <w:rsid w:val="003E496A"/>
    <w:rsid w:val="00412CD0"/>
    <w:rsid w:val="006D4F79"/>
    <w:rsid w:val="007E6E50"/>
    <w:rsid w:val="0098783A"/>
    <w:rsid w:val="00AC1CC1"/>
    <w:rsid w:val="00AE69D7"/>
    <w:rsid w:val="00DE626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E69D7"/>
    <w:rPr>
      <w:sz w:val="24"/>
      <w:szCs w:val="24"/>
    </w:rPr>
  </w:style>
  <w:style w:type="paragraph" w:styleId="Titolo1">
    <w:name w:val="heading 1"/>
    <w:basedOn w:val="Normale"/>
    <w:next w:val="Normale"/>
    <w:link w:val="Titolo1Carattere"/>
    <w:qFormat/>
    <w:rsid w:val="002E0A26"/>
    <w:pPr>
      <w:keepNext/>
      <w:numPr>
        <w:numId w:val="2"/>
      </w:numPr>
      <w:spacing w:before="240" w:after="240"/>
      <w:outlineLvl w:val="0"/>
    </w:pPr>
    <w:rPr>
      <w:rFonts w:asciiTheme="majorHAnsi" w:eastAsiaTheme="majorEastAsia" w:hAnsiTheme="majorHAnsi" w:cstheme="majorBidi"/>
      <w:b/>
      <w:bCs/>
      <w:kern w:val="32"/>
      <w:sz w:val="32"/>
      <w:szCs w:val="32"/>
    </w:rPr>
  </w:style>
  <w:style w:type="paragraph" w:styleId="Titolo2">
    <w:name w:val="heading 2"/>
    <w:basedOn w:val="Normale"/>
    <w:next w:val="Normale"/>
    <w:link w:val="Titolo2Carattere"/>
    <w:qFormat/>
    <w:rsid w:val="00AE69D7"/>
    <w:pPr>
      <w:keepNext/>
      <w:spacing w:after="120"/>
      <w:ind w:left="576" w:hanging="576"/>
      <w:jc w:val="both"/>
      <w:outlineLvl w:val="1"/>
    </w:pPr>
    <w:rPr>
      <w:b/>
      <w:bCs/>
      <w:i/>
    </w:rPr>
  </w:style>
  <w:style w:type="paragraph" w:styleId="Titolo3">
    <w:name w:val="heading 3"/>
    <w:basedOn w:val="Normale"/>
    <w:next w:val="Normale"/>
    <w:link w:val="Titolo3Carattere"/>
    <w:qFormat/>
    <w:rsid w:val="00AE69D7"/>
    <w:pPr>
      <w:keepNext/>
      <w:spacing w:after="120"/>
      <w:ind w:left="720" w:hanging="720"/>
      <w:outlineLvl w:val="2"/>
    </w:pPr>
    <w:rPr>
      <w:bCs/>
      <w:i/>
      <w:szCs w:val="22"/>
    </w:rPr>
  </w:style>
  <w:style w:type="paragraph" w:styleId="Titolo4">
    <w:name w:val="heading 4"/>
    <w:basedOn w:val="Normale"/>
    <w:next w:val="Normale"/>
    <w:link w:val="Titolo4Carattere"/>
    <w:qFormat/>
    <w:rsid w:val="00AE69D7"/>
    <w:pPr>
      <w:keepNext/>
      <w:spacing w:before="240" w:after="60"/>
      <w:ind w:left="864" w:hanging="864"/>
      <w:outlineLvl w:val="3"/>
    </w:pPr>
    <w:rPr>
      <w:b/>
      <w:bCs/>
      <w:sz w:val="28"/>
      <w:szCs w:val="28"/>
    </w:rPr>
  </w:style>
  <w:style w:type="paragraph" w:styleId="Titolo5">
    <w:name w:val="heading 5"/>
    <w:basedOn w:val="Normale"/>
    <w:next w:val="Normale"/>
    <w:link w:val="Titolo5Carattere"/>
    <w:qFormat/>
    <w:rsid w:val="00AE69D7"/>
    <w:pPr>
      <w:spacing w:before="240" w:after="60" w:line="312" w:lineRule="auto"/>
      <w:ind w:left="1008" w:hanging="1008"/>
      <w:jc w:val="both"/>
      <w:outlineLvl w:val="4"/>
    </w:pPr>
    <w:rPr>
      <w:b/>
      <w:bCs/>
      <w:i/>
      <w:iCs/>
      <w:sz w:val="26"/>
      <w:szCs w:val="26"/>
    </w:rPr>
  </w:style>
  <w:style w:type="paragraph" w:styleId="Titolo6">
    <w:name w:val="heading 6"/>
    <w:basedOn w:val="Normale"/>
    <w:next w:val="Normale"/>
    <w:link w:val="Titolo6Carattere"/>
    <w:qFormat/>
    <w:rsid w:val="00AE69D7"/>
    <w:pPr>
      <w:spacing w:before="240" w:after="60"/>
      <w:ind w:left="1152" w:hanging="1152"/>
      <w:outlineLvl w:val="5"/>
    </w:pPr>
    <w:rPr>
      <w:b/>
      <w:bCs/>
      <w:sz w:val="22"/>
      <w:szCs w:val="22"/>
    </w:rPr>
  </w:style>
  <w:style w:type="paragraph" w:styleId="Titolo7">
    <w:name w:val="heading 7"/>
    <w:basedOn w:val="Normale"/>
    <w:next w:val="Normale"/>
    <w:link w:val="Titolo7Carattere"/>
    <w:qFormat/>
    <w:rsid w:val="00AE69D7"/>
    <w:pPr>
      <w:spacing w:before="240" w:after="60"/>
      <w:ind w:left="1296" w:hanging="1296"/>
      <w:outlineLvl w:val="6"/>
    </w:pPr>
  </w:style>
  <w:style w:type="paragraph" w:styleId="Titolo8">
    <w:name w:val="heading 8"/>
    <w:basedOn w:val="Normale"/>
    <w:next w:val="Normale"/>
    <w:link w:val="Titolo8Carattere"/>
    <w:qFormat/>
    <w:rsid w:val="00AE69D7"/>
    <w:pPr>
      <w:spacing w:before="240" w:after="60"/>
      <w:ind w:left="1440" w:hanging="1440"/>
      <w:outlineLvl w:val="7"/>
    </w:pPr>
    <w:rPr>
      <w:i/>
      <w:iCs/>
    </w:rPr>
  </w:style>
  <w:style w:type="paragraph" w:styleId="Titolo9">
    <w:name w:val="heading 9"/>
    <w:basedOn w:val="Normale"/>
    <w:next w:val="Normale"/>
    <w:link w:val="Titolo9Carattere"/>
    <w:qFormat/>
    <w:rsid w:val="00AE69D7"/>
    <w:pPr>
      <w:spacing w:before="240" w:after="60" w:line="312" w:lineRule="auto"/>
      <w:ind w:left="1584" w:hanging="1584"/>
      <w:jc w:val="both"/>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E0A26"/>
    <w:rPr>
      <w:rFonts w:asciiTheme="majorHAnsi" w:eastAsiaTheme="majorEastAsia" w:hAnsiTheme="majorHAnsi" w:cstheme="majorBidi"/>
      <w:b/>
      <w:bCs/>
      <w:kern w:val="32"/>
      <w:sz w:val="32"/>
      <w:szCs w:val="32"/>
    </w:rPr>
  </w:style>
  <w:style w:type="character" w:styleId="Enfasidelicata">
    <w:name w:val="Subtle Emphasis"/>
    <w:basedOn w:val="Carpredefinitoparagrafo"/>
    <w:uiPriority w:val="19"/>
    <w:qFormat/>
    <w:rsid w:val="002E0A26"/>
    <w:rPr>
      <w:i/>
      <w:iCs/>
      <w:color w:val="808080" w:themeColor="text1" w:themeTint="7F"/>
    </w:rPr>
  </w:style>
  <w:style w:type="character" w:styleId="Enfasiintensa">
    <w:name w:val="Intense Emphasis"/>
    <w:basedOn w:val="Carpredefinitoparagrafo"/>
    <w:uiPriority w:val="21"/>
    <w:qFormat/>
    <w:rsid w:val="002E0A26"/>
    <w:rPr>
      <w:b/>
      <w:bCs/>
      <w:i/>
      <w:iCs/>
      <w:color w:val="4F81BD" w:themeColor="accent1"/>
    </w:rPr>
  </w:style>
  <w:style w:type="character" w:styleId="Titolodellibro">
    <w:name w:val="Book Title"/>
    <w:basedOn w:val="Carpredefinitoparagrafo"/>
    <w:uiPriority w:val="33"/>
    <w:qFormat/>
    <w:rsid w:val="002E0A26"/>
    <w:rPr>
      <w:b/>
      <w:bCs/>
      <w:smallCaps/>
      <w:spacing w:val="5"/>
    </w:rPr>
  </w:style>
  <w:style w:type="character" w:customStyle="1" w:styleId="Titolo2Carattere">
    <w:name w:val="Titolo 2 Carattere"/>
    <w:basedOn w:val="Carpredefinitoparagrafo"/>
    <w:link w:val="Titolo2"/>
    <w:rsid w:val="00AE69D7"/>
    <w:rPr>
      <w:b/>
      <w:bCs/>
      <w:i/>
      <w:sz w:val="24"/>
      <w:szCs w:val="24"/>
    </w:rPr>
  </w:style>
  <w:style w:type="character" w:customStyle="1" w:styleId="Titolo3Carattere">
    <w:name w:val="Titolo 3 Carattere"/>
    <w:basedOn w:val="Carpredefinitoparagrafo"/>
    <w:link w:val="Titolo3"/>
    <w:rsid w:val="00AE69D7"/>
    <w:rPr>
      <w:bCs/>
      <w:i/>
      <w:sz w:val="24"/>
      <w:szCs w:val="22"/>
    </w:rPr>
  </w:style>
  <w:style w:type="character" w:customStyle="1" w:styleId="Titolo4Carattere">
    <w:name w:val="Titolo 4 Carattere"/>
    <w:basedOn w:val="Carpredefinitoparagrafo"/>
    <w:link w:val="Titolo4"/>
    <w:rsid w:val="00AE69D7"/>
    <w:rPr>
      <w:b/>
      <w:bCs/>
      <w:sz w:val="28"/>
      <w:szCs w:val="28"/>
    </w:rPr>
  </w:style>
  <w:style w:type="character" w:customStyle="1" w:styleId="Titolo5Carattere">
    <w:name w:val="Titolo 5 Carattere"/>
    <w:basedOn w:val="Carpredefinitoparagrafo"/>
    <w:link w:val="Titolo5"/>
    <w:rsid w:val="00AE69D7"/>
    <w:rPr>
      <w:b/>
      <w:bCs/>
      <w:i/>
      <w:iCs/>
      <w:sz w:val="26"/>
      <w:szCs w:val="26"/>
    </w:rPr>
  </w:style>
  <w:style w:type="character" w:customStyle="1" w:styleId="Titolo6Carattere">
    <w:name w:val="Titolo 6 Carattere"/>
    <w:basedOn w:val="Carpredefinitoparagrafo"/>
    <w:link w:val="Titolo6"/>
    <w:rsid w:val="00AE69D7"/>
    <w:rPr>
      <w:b/>
      <w:bCs/>
      <w:sz w:val="22"/>
      <w:szCs w:val="22"/>
    </w:rPr>
  </w:style>
  <w:style w:type="character" w:customStyle="1" w:styleId="Titolo7Carattere">
    <w:name w:val="Titolo 7 Carattere"/>
    <w:basedOn w:val="Carpredefinitoparagrafo"/>
    <w:link w:val="Titolo7"/>
    <w:rsid w:val="00AE69D7"/>
    <w:rPr>
      <w:sz w:val="24"/>
      <w:szCs w:val="24"/>
    </w:rPr>
  </w:style>
  <w:style w:type="character" w:customStyle="1" w:styleId="Titolo8Carattere">
    <w:name w:val="Titolo 8 Carattere"/>
    <w:basedOn w:val="Carpredefinitoparagrafo"/>
    <w:link w:val="Titolo8"/>
    <w:rsid w:val="00AE69D7"/>
    <w:rPr>
      <w:i/>
      <w:iCs/>
      <w:sz w:val="24"/>
      <w:szCs w:val="24"/>
    </w:rPr>
  </w:style>
  <w:style w:type="character" w:customStyle="1" w:styleId="Titolo9Carattere">
    <w:name w:val="Titolo 9 Carattere"/>
    <w:basedOn w:val="Carpredefinitoparagrafo"/>
    <w:link w:val="Titolo9"/>
    <w:rsid w:val="00AE69D7"/>
    <w:rPr>
      <w:rFonts w:ascii="Arial" w:hAnsi="Arial" w:cs="Arial"/>
      <w:sz w:val="22"/>
      <w:szCs w:val="22"/>
    </w:rPr>
  </w:style>
  <w:style w:type="paragraph" w:styleId="Titolo">
    <w:name w:val="Title"/>
    <w:basedOn w:val="Normale"/>
    <w:link w:val="TitoloCarattere"/>
    <w:qFormat/>
    <w:rsid w:val="00AE69D7"/>
    <w:pPr>
      <w:ind w:left="3540" w:hanging="3540"/>
      <w:jc w:val="center"/>
    </w:pPr>
    <w:rPr>
      <w:b/>
      <w:sz w:val="28"/>
      <w:szCs w:val="20"/>
    </w:rPr>
  </w:style>
  <w:style w:type="character" w:customStyle="1" w:styleId="TitoloCarattere">
    <w:name w:val="Titolo Carattere"/>
    <w:basedOn w:val="Carpredefinitoparagrafo"/>
    <w:link w:val="Titolo"/>
    <w:rsid w:val="00AE69D7"/>
    <w:rPr>
      <w:b/>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488</Words>
  <Characters>2784</Characters>
  <Application>Microsoft Office Word</Application>
  <DocSecurity>0</DocSecurity>
  <Lines>23</Lines>
  <Paragraphs>6</Paragraphs>
  <ScaleCrop>false</ScaleCrop>
  <Company/>
  <LinksUpToDate>false</LinksUpToDate>
  <CharactersWithSpaces>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enrico.bonacci</dc:creator>
  <cp:keywords/>
  <dc:description/>
  <cp:lastModifiedBy>enrico.bonacci</cp:lastModifiedBy>
  <cp:revision>2</cp:revision>
  <dcterms:created xsi:type="dcterms:W3CDTF">2015-03-31T09:39:00Z</dcterms:created>
  <dcterms:modified xsi:type="dcterms:W3CDTF">2015-03-31T09:39:00Z</dcterms:modified>
</cp:coreProperties>
</file>